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bookmarkStart w:id="0" w:name="OLE_LINK3"/>
      <w:bookmarkStart w:id="1" w:name="_GoBack"/>
      <w:bookmarkEnd w:id="1"/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材料与能源学院第十四届团委学生会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部门职责表</w:t>
      </w:r>
    </w:p>
    <w:tbl>
      <w:tblPr>
        <w:tblStyle w:val="a8"/>
        <w:tblW w:w="8239" w:type="dxa"/>
        <w:jc w:val="center"/>
        <w:tblInd w:w="-215" w:type="dxa"/>
        <w:tblLayout w:type="fixed"/>
        <w:tblLook w:val="04A0" w:firstRow="1" w:lastRow="0" w:firstColumn="1" w:lastColumn="0" w:noHBand="0" w:noVBand="1"/>
      </w:tblPr>
      <w:tblGrid>
        <w:gridCol w:w="1952"/>
        <w:gridCol w:w="6287"/>
      </w:tblGrid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6287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职责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组织部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主要负责团委日常工作。对接校团委各项工作，落实上级文件精神，联系指导基层团支部开展各项工作，开展团校培训，负责团委学生会组织建设、团队凝聚力建设。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宣传部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学院团委“咽喉”，主要承担团委宣传口工作。协同组织部开展团委思想引领类活动，负责团委意识形态建设，“真材实料”年度人物评选工作，同时负责团委学生会文化建设、各类活动线下宣传工作（展板绘制、场地布置）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办公室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主要负责团委学生会日常工作。联系对接各级学生组织，负责团委学生会文电、档案管理，财务管理、物资管理，组织内每月考核、年度评优，每月本</w:t>
            </w:r>
            <w:proofErr w:type="gramStart"/>
            <w:r>
              <w:rPr>
                <w:rFonts w:ascii="仿宋" w:hAnsi="仿宋" w:hint="eastAsia"/>
                <w:sz w:val="28"/>
              </w:rPr>
              <w:t>研</w:t>
            </w:r>
            <w:proofErr w:type="gramEnd"/>
            <w:r>
              <w:rPr>
                <w:rFonts w:ascii="仿宋" w:hAnsi="仿宋" w:hint="eastAsia"/>
                <w:sz w:val="28"/>
              </w:rPr>
              <w:t>联席会议安排，牵头落实校学生会各项工作。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学术科技部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学院学风建设工作。牵头负责每年学生综合考评，开展学风纠察，收集学生教学意见，督促指导班级开展学风建设活动，策划学院学风建设活动，承办“含弘杯”“材能杯”等各类学术科技活动，代管辩论队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文体部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主要负责学院文体建设工作。组织开展学院各类文艺、体育赛事活动，丰富全院师生生活，组织参加学校各类文体活动，牵头举办迎新晚会、毕业生晚会，负责下属各体育队伍日常训练及管理。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就业实践部</w:t>
            </w:r>
          </w:p>
        </w:tc>
        <w:tc>
          <w:tcPr>
            <w:tcW w:w="6287" w:type="dxa"/>
            <w:vAlign w:val="center"/>
          </w:tcPr>
          <w:p w:rsidR="00F34794" w:rsidRDefault="009302D5" w:rsidP="009302D5">
            <w:pPr>
              <w:widowControl/>
              <w:spacing w:line="480" w:lineRule="exact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主要负责就业实践类工作。对接校团委社会实践部（青年志愿者联合会）开展各</w:t>
            </w:r>
            <w:proofErr w:type="gramStart"/>
            <w:r>
              <w:rPr>
                <w:rFonts w:ascii="仿宋" w:hAnsi="仿宋" w:hint="eastAsia"/>
                <w:sz w:val="28"/>
              </w:rPr>
              <w:t>类实践</w:t>
            </w:r>
            <w:proofErr w:type="gramEnd"/>
            <w:r>
              <w:rPr>
                <w:rFonts w:ascii="仿宋" w:hAnsi="仿宋" w:hint="eastAsia"/>
                <w:sz w:val="28"/>
              </w:rPr>
              <w:t>活动，举办学</w:t>
            </w:r>
            <w:r>
              <w:rPr>
                <w:rFonts w:ascii="仿宋" w:hAnsi="仿宋" w:hint="eastAsia"/>
                <w:sz w:val="28"/>
              </w:rPr>
              <w:lastRenderedPageBreak/>
              <w:t>院实践活动。对接招生就业处负责学院本科生就业相关工作，开展创新创业活动。负责团委学生会大型活动赞助洽谈，学生志愿服务队管理、活动实施。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lastRenderedPageBreak/>
              <w:t>心理与生活部</w:t>
            </w:r>
          </w:p>
        </w:tc>
        <w:tc>
          <w:tcPr>
            <w:tcW w:w="6287" w:type="dxa"/>
            <w:vAlign w:val="center"/>
          </w:tcPr>
          <w:p w:rsidR="00F34794" w:rsidRDefault="009302D5">
            <w:pPr>
              <w:widowControl/>
              <w:spacing w:line="480" w:lineRule="exact"/>
              <w:ind w:firstLineChars="200" w:firstLine="560"/>
              <w:jc w:val="left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主要负责开展服务师生各类工作。对接学工处，协助完成学院助学工作，管理“特立”服务分队，组织开展学院寝室卫生评比检查工作，安排并督促检查班级美化校园，落实劳动教育建设工作，牵头举办各类慰问活动、志愿活动，建设权益站点，维护学生权益，倾听学生诉求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采编部</w:t>
            </w:r>
          </w:p>
        </w:tc>
        <w:tc>
          <w:tcPr>
            <w:tcW w:w="6287" w:type="dxa"/>
            <w:vAlign w:val="center"/>
          </w:tcPr>
          <w:p w:rsidR="00F34794" w:rsidRDefault="009302D5">
            <w:pPr>
              <w:widowControl/>
              <w:spacing w:line="480" w:lineRule="exact"/>
              <w:ind w:firstLineChars="200" w:firstLine="56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</w:rPr>
              <w:t>主要负责学院宣传文稿创作工作。负责各类活动新闻报道，管理学院官网，为</w:t>
            </w:r>
            <w:proofErr w:type="gramStart"/>
            <w:r>
              <w:rPr>
                <w:rFonts w:ascii="仿宋" w:hAnsi="仿宋" w:hint="eastAsia"/>
                <w:sz w:val="28"/>
              </w:rPr>
              <w:t>微信公众号创作</w:t>
            </w:r>
            <w:proofErr w:type="gramEnd"/>
            <w:r>
              <w:rPr>
                <w:rFonts w:ascii="仿宋" w:hAnsi="仿宋" w:hint="eastAsia"/>
                <w:sz w:val="28"/>
              </w:rPr>
              <w:t>各类原创稿件，挖掘报道各类先进人物事迹，指导监督班级活动新闻报道。</w:t>
            </w:r>
          </w:p>
        </w:tc>
      </w:tr>
      <w:tr w:rsidR="00F34794" w:rsidTr="009302D5">
        <w:trPr>
          <w:jc w:val="center"/>
        </w:trPr>
        <w:tc>
          <w:tcPr>
            <w:tcW w:w="1952" w:type="dxa"/>
            <w:vAlign w:val="center"/>
          </w:tcPr>
          <w:p w:rsidR="00F34794" w:rsidRDefault="009302D5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媒体技术部</w:t>
            </w:r>
          </w:p>
        </w:tc>
        <w:tc>
          <w:tcPr>
            <w:tcW w:w="6287" w:type="dxa"/>
            <w:vAlign w:val="center"/>
          </w:tcPr>
          <w:p w:rsidR="00F34794" w:rsidRDefault="009302D5">
            <w:pPr>
              <w:widowControl/>
              <w:spacing w:line="480" w:lineRule="exact"/>
              <w:ind w:firstLineChars="200" w:firstLine="560"/>
              <w:jc w:val="left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主要负责宣传技术工作。负责对学院各类活动进行线上宣传，各类活动照片、视频拍摄及后期处理、存档，运营学院官Q、</w:t>
            </w:r>
            <w:proofErr w:type="gramStart"/>
            <w:r>
              <w:rPr>
                <w:rFonts w:ascii="仿宋" w:hAnsi="仿宋" w:hint="eastAsia"/>
                <w:sz w:val="28"/>
              </w:rPr>
              <w:t>官微等</w:t>
            </w:r>
            <w:proofErr w:type="gramEnd"/>
            <w:r>
              <w:rPr>
                <w:rFonts w:ascii="仿宋" w:hAnsi="仿宋" w:hint="eastAsia"/>
                <w:sz w:val="28"/>
              </w:rPr>
              <w:t>新媒体平台（</w:t>
            </w:r>
            <w:proofErr w:type="gramStart"/>
            <w:r>
              <w:rPr>
                <w:rFonts w:ascii="仿宋" w:hAnsi="仿宋" w:hint="eastAsia"/>
                <w:sz w:val="28"/>
              </w:rPr>
              <w:t>官网除外</w:t>
            </w:r>
            <w:proofErr w:type="gramEnd"/>
            <w:r>
              <w:rPr>
                <w:rFonts w:ascii="仿宋" w:hAnsi="仿宋" w:hint="eastAsia"/>
                <w:sz w:val="28"/>
              </w:rPr>
              <w:t>），创作原创媒体作品，举办“青年文化节”等媒体活动。</w:t>
            </w:r>
          </w:p>
        </w:tc>
      </w:tr>
    </w:tbl>
    <w:p w:rsidR="00F34794" w:rsidRDefault="00F34794">
      <w:pPr>
        <w:widowControl/>
        <w:jc w:val="left"/>
        <w:rPr>
          <w:rFonts w:ascii="方正仿宋_GBK" w:eastAsia="方正仿宋_GBK" w:hAnsi="仿宋" w:cs="仿宋"/>
          <w:color w:val="000000"/>
          <w:kern w:val="0"/>
          <w:sz w:val="28"/>
          <w:szCs w:val="28"/>
        </w:rPr>
      </w:pPr>
    </w:p>
    <w:p w:rsidR="00F34794" w:rsidRDefault="00F34794">
      <w:pPr>
        <w:widowControl/>
        <w:shd w:val="clear" w:color="auto" w:fill="FEFEFE"/>
        <w:spacing w:beforeLines="50" w:before="156" w:afterLines="50" w:after="156" w:line="480" w:lineRule="exact"/>
        <w:rPr>
          <w:rFonts w:ascii="仿宋" w:hAnsi="仿宋" w:cs="仿宋"/>
          <w:color w:val="000000"/>
          <w:kern w:val="0"/>
          <w:sz w:val="28"/>
          <w:szCs w:val="28"/>
        </w:rPr>
        <w:sectPr w:rsidR="00F347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附件2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材料与能源学院团委学生会干部换届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选举报名表</w:t>
      </w:r>
    </w:p>
    <w:tbl>
      <w:tblPr>
        <w:tblpPr w:leftFromText="180" w:rightFromText="180" w:topFromText="100" w:bottomFromText="100" w:vertAnchor="text" w:horzAnchor="page" w:tblpXSpec="center" w:tblpY="196"/>
        <w:tblOverlap w:val="never"/>
        <w:tblW w:w="9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513"/>
        <w:gridCol w:w="15"/>
        <w:gridCol w:w="782"/>
        <w:gridCol w:w="1558"/>
        <w:gridCol w:w="958"/>
        <w:gridCol w:w="301"/>
        <w:gridCol w:w="1510"/>
        <w:gridCol w:w="1654"/>
      </w:tblGrid>
      <w:tr w:rsidR="00F34794">
        <w:trPr>
          <w:cantSplit/>
          <w:trHeight w:val="599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照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片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张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贴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F34794" w:rsidTr="009302D5">
        <w:trPr>
          <w:cantSplit/>
          <w:trHeight w:val="500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429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390"/>
          <w:jc w:val="center"/>
        </w:trPr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竞选部门及职位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2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345"/>
          <w:jc w:val="center"/>
        </w:trPr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1579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性 格 简 述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1407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1687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学生工作经历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2207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前期工作简要总结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hAnsi="仿宋" w:cs="仿宋" w:hint="eastAsia"/>
                <w:kern w:val="0"/>
                <w:sz w:val="18"/>
                <w:szCs w:val="18"/>
              </w:rPr>
              <w:t>(可另附页)</w:t>
            </w:r>
          </w:p>
        </w:tc>
      </w:tr>
      <w:tr w:rsidR="00F34794">
        <w:trPr>
          <w:cantSplit/>
          <w:trHeight w:val="1268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（填表时此行可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删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1、申请表要求填写电子档，不改动表格中已有文字的格式，排版需规范整洁，手写无效。竞选申请书（包含对</w:t>
            </w:r>
            <w:r>
              <w:rPr>
                <w:rFonts w:ascii="仿宋" w:hAnsi="仿宋" w:cs="仿宋" w:hint="eastAsia"/>
                <w:sz w:val="24"/>
                <w:szCs w:val="24"/>
              </w:rPr>
              <w:t>学生组织改革的看法、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竞选岗位的认识</w:t>
            </w:r>
            <w:r>
              <w:rPr>
                <w:rFonts w:ascii="仿宋" w:hAnsi="仿宋" w:cs="仿宋" w:hint="eastAsia"/>
                <w:sz w:val="24"/>
                <w:szCs w:val="24"/>
              </w:rPr>
              <w:t>以及担任学生干部后的工作规划等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）要求电子档，需另附页。</w:t>
            </w:r>
          </w:p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2、6月21日17:00前将电子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发送至团委组织部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hAnsi="仿宋" w:cs="仿宋"/>
                <w:bCs/>
                <w:color w:val="000000"/>
                <w:kern w:val="0"/>
                <w:sz w:val="24"/>
                <w:szCs w:val="24"/>
              </w:rPr>
              <w:t>clynyxbzzb2018@163.com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，同时将纸质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一式两份交至学院学生会办公室22教103处。</w:t>
            </w:r>
          </w:p>
        </w:tc>
      </w:tr>
    </w:tbl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right"/>
        <w:rPr>
          <w:rFonts w:ascii="仿宋" w:hAnsi="仿宋" w:cs="仿宋"/>
          <w:color w:val="000000"/>
          <w:kern w:val="0"/>
          <w:szCs w:val="28"/>
        </w:rPr>
      </w:pPr>
      <w:r>
        <w:rPr>
          <w:rFonts w:ascii="仿宋" w:hAnsi="仿宋" w:cs="仿宋" w:hint="eastAsia"/>
          <w:color w:val="000000"/>
          <w:kern w:val="0"/>
          <w:szCs w:val="28"/>
        </w:rPr>
        <w:t>材料与能源学院团委学生会制表</w:t>
      </w:r>
    </w:p>
    <w:p w:rsidR="00F34794" w:rsidRDefault="00F34794">
      <w:pPr>
        <w:tabs>
          <w:tab w:val="left" w:pos="1159"/>
        </w:tabs>
        <w:jc w:val="left"/>
        <w:sectPr w:rsidR="00F347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附件3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6"/>
        </w:rPr>
        <w:t>评分细则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3186"/>
        <w:gridCol w:w="1844"/>
        <w:gridCol w:w="1467"/>
      </w:tblGrid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项目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申请表和竞选申请书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竞选演说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问答环节</w:t>
            </w:r>
          </w:p>
        </w:tc>
      </w:tr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分值比重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40%</w:t>
            </w:r>
          </w:p>
        </w:tc>
      </w:tr>
    </w:tbl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kern w:val="0"/>
          <w:sz w:val="28"/>
          <w:szCs w:val="28"/>
        </w:rPr>
      </w:pPr>
      <w:bookmarkStart w:id="2" w:name="OLE_LINK7"/>
      <w:bookmarkEnd w:id="0"/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一、申请表和竞选申请书的评定（30%）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2017年6月23日召开主席团会进行评分，100分制，每人评分后，取平均值，平均值乘30%即是此项目的最后得分。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1、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申请表排版需整洁、美观，内容真实有效；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竞选申请书</w:t>
      </w:r>
      <w:proofErr w:type="gramStart"/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需包括</w:t>
      </w:r>
      <w:proofErr w:type="gramEnd"/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对</w:t>
      </w:r>
      <w:r>
        <w:rPr>
          <w:rFonts w:ascii="仿宋" w:hAnsi="仿宋" w:cs="仿宋" w:hint="eastAsia"/>
          <w:sz w:val="28"/>
          <w:szCs w:val="28"/>
        </w:rPr>
        <w:t>学部学生组织的看法、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竞聘岗位的认识</w:t>
      </w:r>
      <w:r>
        <w:rPr>
          <w:rFonts w:ascii="仿宋" w:hAnsi="仿宋" w:cs="仿宋" w:hint="eastAsia"/>
          <w:sz w:val="28"/>
          <w:szCs w:val="28"/>
        </w:rPr>
        <w:t>以及担任学生干部后的工作规划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，语言通顺，条理清晰。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二、竞选演说(30%)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2017年6月23日竞选大会竞选演讲环节结束后，评委现场打分，100分制，每人评分后，取平均值，平均值乘以30%即是此项目的最后得分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  <w:shd w:val="clear" w:color="auto" w:fill="FEFEFE"/>
        </w:rPr>
        <w:t>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演说内容：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1)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能够准确的自我认识，明确自身的优缺点及改进办法；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2)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演说中的能体现竞选人具有良好的责任意识、大局观念、团队意识以及领导能力；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3)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演说内容条理清晰，对竞聘岗位有深刻的了解及认识，有自己的思想和看法；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4)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对今后的工作有详细合理的规划，能够明确工作的宗旨及意义。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语言表达：口齿清晰，声音洪亮，用词准确，表达自然流畅，能够让他人迅速地理解其表达的意思。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3、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形象风度：精神饱满，举止自然，着装得体，端庄大方。</w:t>
      </w:r>
      <w:r>
        <w:rPr>
          <w:rFonts w:ascii="仿宋" w:hAnsi="仿宋" w:cs="仿宋" w:hint="eastAsia"/>
          <w:kern w:val="0"/>
          <w:sz w:val="28"/>
          <w:szCs w:val="28"/>
        </w:rPr>
        <w:t xml:space="preserve"> 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4、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综合印象：对竞聘岗位认识深刻，各方面能力出众，人脉交际面广，演说有感染力，节奏时间掌握恰当，上下台致意，答谢。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三、问答环节(40%)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2017年6月23日竞选大会问答环节结束后，评委现场打分，100分制，每人评分后，取平均值，平均值乘以40%即是此项目的最后得分。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beforeLines="50" w:before="156" w:line="44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1. 竞选人能够正确理解问题，抓住问题核心，思维敏捷，清晰表达自己的观点。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2. 竞选人能够条理清晰的回答评委提出的问题，把握好时间。</w:t>
      </w:r>
      <w:bookmarkEnd w:id="2"/>
    </w:p>
    <w:sectPr w:rsidR="00F3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5D9B5"/>
    <w:multiLevelType w:val="singleLevel"/>
    <w:tmpl w:val="9495D9B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E8"/>
    <w:rsid w:val="001155B9"/>
    <w:rsid w:val="00151EE8"/>
    <w:rsid w:val="001B6BFD"/>
    <w:rsid w:val="00384932"/>
    <w:rsid w:val="006D15FD"/>
    <w:rsid w:val="00723D0A"/>
    <w:rsid w:val="008F3D96"/>
    <w:rsid w:val="009302D5"/>
    <w:rsid w:val="00F34794"/>
    <w:rsid w:val="00F74DB1"/>
    <w:rsid w:val="1EE64FA3"/>
    <w:rsid w:val="31613766"/>
    <w:rsid w:val="67C44F38"/>
    <w:rsid w:val="69946E97"/>
    <w:rsid w:val="6F4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2019-06-18T00:28:00Z</dcterms:created>
  <dcterms:modified xsi:type="dcterms:W3CDTF">2019-06-18T00:28:00Z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